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3C" w:rsidRDefault="00D1133C">
      <w:pPr>
        <w:rPr>
          <w:rFonts w:ascii="Tahoma" w:hAnsi="Tahoma" w:cs="Tahoma"/>
          <w:b/>
          <w:sz w:val="18"/>
          <w:szCs w:val="18"/>
        </w:rPr>
      </w:pPr>
    </w:p>
    <w:p w:rsidR="005F0798" w:rsidRPr="005F0798" w:rsidRDefault="005F0798" w:rsidP="005F0798">
      <w:pPr>
        <w:rPr>
          <w:rFonts w:ascii="Tahoma" w:hAnsi="Tahoma" w:cs="Tahoma"/>
          <w:b/>
          <w:sz w:val="18"/>
          <w:szCs w:val="18"/>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361CF1" w:rsidRPr="00361CF1" w:rsidTr="00361CF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61CF1" w:rsidRPr="00361CF1" w:rsidRDefault="00361CF1" w:rsidP="00361CF1">
            <w:pPr>
              <w:spacing w:line="240" w:lineRule="atLeast"/>
              <w:rPr>
                <w:lang w:val="tr-TR" w:eastAsia="tr-TR"/>
              </w:rPr>
            </w:pPr>
            <w:bookmarkStart w:id="0" w:name="_GoBack"/>
            <w:bookmarkEnd w:id="0"/>
            <w:r w:rsidRPr="00361CF1">
              <w:rPr>
                <w:rFonts w:ascii="Arial" w:hAnsi="Arial" w:cs="Arial"/>
                <w:sz w:val="16"/>
                <w:szCs w:val="16"/>
                <w:lang w:val="tr-TR" w:eastAsia="tr-TR"/>
              </w:rPr>
              <w:t>24 Aralık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61CF1" w:rsidRPr="00361CF1" w:rsidRDefault="00361CF1" w:rsidP="00361CF1">
            <w:pPr>
              <w:spacing w:line="240" w:lineRule="atLeast"/>
              <w:jc w:val="center"/>
              <w:rPr>
                <w:lang w:val="tr-TR" w:eastAsia="tr-TR"/>
              </w:rPr>
            </w:pPr>
            <w:r w:rsidRPr="00361CF1">
              <w:rPr>
                <w:rFonts w:ascii="Palatino Linotype" w:hAnsi="Palatino Linotype"/>
                <w:b/>
                <w:bCs/>
                <w:color w:val="800080"/>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61CF1" w:rsidRPr="00361CF1" w:rsidRDefault="00361CF1" w:rsidP="00361CF1">
            <w:pPr>
              <w:spacing w:before="100" w:beforeAutospacing="1" w:after="100" w:afterAutospacing="1"/>
              <w:jc w:val="right"/>
              <w:rPr>
                <w:lang w:val="tr-TR" w:eastAsia="tr-TR"/>
              </w:rPr>
            </w:pPr>
            <w:proofErr w:type="gramStart"/>
            <w:r w:rsidRPr="00361CF1">
              <w:rPr>
                <w:rFonts w:ascii="Arial" w:hAnsi="Arial" w:cs="Arial"/>
                <w:sz w:val="16"/>
                <w:szCs w:val="16"/>
                <w:lang w:val="tr-TR" w:eastAsia="tr-TR"/>
              </w:rPr>
              <w:t>Sayı : 29572</w:t>
            </w:r>
            <w:proofErr w:type="gramEnd"/>
          </w:p>
        </w:tc>
      </w:tr>
      <w:tr w:rsidR="00361CF1" w:rsidRPr="00361CF1" w:rsidTr="00361CF1">
        <w:trPr>
          <w:trHeight w:val="480"/>
        </w:trPr>
        <w:tc>
          <w:tcPr>
            <w:tcW w:w="8789" w:type="dxa"/>
            <w:gridSpan w:val="3"/>
            <w:tcMar>
              <w:top w:w="0" w:type="dxa"/>
              <w:left w:w="108" w:type="dxa"/>
              <w:bottom w:w="0" w:type="dxa"/>
              <w:right w:w="108" w:type="dxa"/>
            </w:tcMar>
            <w:vAlign w:val="center"/>
            <w:hideMark/>
          </w:tcPr>
          <w:p w:rsidR="00361CF1" w:rsidRPr="00361CF1" w:rsidRDefault="00361CF1" w:rsidP="00361CF1">
            <w:pPr>
              <w:spacing w:before="100" w:beforeAutospacing="1" w:after="100" w:afterAutospacing="1"/>
              <w:jc w:val="center"/>
              <w:rPr>
                <w:lang w:val="tr-TR" w:eastAsia="tr-TR"/>
              </w:rPr>
            </w:pPr>
            <w:r w:rsidRPr="00361CF1">
              <w:rPr>
                <w:rFonts w:ascii="Arial" w:hAnsi="Arial" w:cs="Arial"/>
                <w:b/>
                <w:bCs/>
                <w:color w:val="000080"/>
                <w:sz w:val="18"/>
                <w:szCs w:val="18"/>
                <w:lang w:val="tr-TR" w:eastAsia="tr-TR"/>
              </w:rPr>
              <w:t>TEBLİĞ</w:t>
            </w:r>
          </w:p>
        </w:tc>
      </w:tr>
      <w:tr w:rsidR="00361CF1" w:rsidRPr="00361CF1" w:rsidTr="00361CF1">
        <w:trPr>
          <w:trHeight w:val="480"/>
        </w:trPr>
        <w:tc>
          <w:tcPr>
            <w:tcW w:w="8789" w:type="dxa"/>
            <w:gridSpan w:val="3"/>
            <w:tcMar>
              <w:top w:w="0" w:type="dxa"/>
              <w:left w:w="108" w:type="dxa"/>
              <w:bottom w:w="0" w:type="dxa"/>
              <w:right w:w="108" w:type="dxa"/>
            </w:tcMar>
            <w:vAlign w:val="center"/>
            <w:hideMark/>
          </w:tcPr>
          <w:p w:rsidR="00361CF1" w:rsidRPr="00361CF1" w:rsidRDefault="00361CF1" w:rsidP="00361CF1">
            <w:pPr>
              <w:spacing w:line="240" w:lineRule="atLeast"/>
              <w:ind w:firstLine="566"/>
              <w:jc w:val="both"/>
              <w:rPr>
                <w:sz w:val="22"/>
                <w:szCs w:val="22"/>
                <w:u w:val="single"/>
                <w:lang w:val="tr-TR" w:eastAsia="tr-TR"/>
              </w:rPr>
            </w:pPr>
            <w:r w:rsidRPr="00361CF1">
              <w:rPr>
                <w:sz w:val="18"/>
                <w:szCs w:val="18"/>
                <w:u w:val="single"/>
                <w:lang w:val="tr-TR" w:eastAsia="tr-TR"/>
              </w:rPr>
              <w:t>Maliye Bakanlığı (Gelir İdaresi Başkanlığı)’</w:t>
            </w:r>
            <w:proofErr w:type="spellStart"/>
            <w:r w:rsidRPr="00361CF1">
              <w:rPr>
                <w:sz w:val="18"/>
                <w:szCs w:val="18"/>
                <w:u w:val="single"/>
                <w:lang w:val="tr-TR" w:eastAsia="tr-TR"/>
              </w:rPr>
              <w:t>ndan</w:t>
            </w:r>
            <w:proofErr w:type="spellEnd"/>
            <w:r w:rsidRPr="00361CF1">
              <w:rPr>
                <w:sz w:val="18"/>
                <w:szCs w:val="18"/>
                <w:u w:val="single"/>
                <w:lang w:val="tr-TR" w:eastAsia="tr-TR"/>
              </w:rPr>
              <w:t>:</w:t>
            </w:r>
          </w:p>
          <w:p w:rsidR="00361CF1" w:rsidRPr="00361CF1" w:rsidRDefault="00361CF1" w:rsidP="00361CF1">
            <w:pPr>
              <w:spacing w:before="56" w:line="240" w:lineRule="atLeast"/>
              <w:jc w:val="center"/>
              <w:rPr>
                <w:b/>
                <w:bCs/>
                <w:sz w:val="19"/>
                <w:szCs w:val="19"/>
                <w:lang w:val="tr-TR" w:eastAsia="tr-TR"/>
              </w:rPr>
            </w:pPr>
            <w:r w:rsidRPr="00361CF1">
              <w:rPr>
                <w:b/>
                <w:bCs/>
                <w:sz w:val="18"/>
                <w:szCs w:val="18"/>
                <w:lang w:val="tr-TR" w:eastAsia="tr-TR"/>
              </w:rPr>
              <w:t>VERGİ USUL KANUNU GENEL TEBLİĞİ</w:t>
            </w:r>
          </w:p>
          <w:p w:rsidR="00361CF1" w:rsidRPr="00361CF1" w:rsidRDefault="00361CF1" w:rsidP="00361CF1">
            <w:pPr>
              <w:spacing w:after="113" w:line="240" w:lineRule="atLeast"/>
              <w:jc w:val="center"/>
              <w:rPr>
                <w:b/>
                <w:bCs/>
                <w:sz w:val="19"/>
                <w:szCs w:val="19"/>
                <w:lang w:val="tr-TR" w:eastAsia="tr-TR"/>
              </w:rPr>
            </w:pPr>
            <w:r w:rsidRPr="00361CF1">
              <w:rPr>
                <w:b/>
                <w:bCs/>
                <w:sz w:val="18"/>
                <w:szCs w:val="18"/>
                <w:lang w:val="tr-TR" w:eastAsia="tr-TR"/>
              </w:rPr>
              <w:t>(SIRA NO: 459)</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1. Giriş</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Vergi kanunlarının vergiyi bağladıkları olayı, belli kurumların kayıt ve belgeleri yardımıyla tespit etmek ve böylece kayıt dışılığı önlemek amacı doğrultusunda tahsilat ve ödemelerde tevsik zorunluluğu getirilmesi bu Tebliğin konusunu teşkil etmektedir.</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2. Yetki</w:t>
            </w:r>
          </w:p>
          <w:p w:rsidR="00361CF1" w:rsidRPr="00361CF1" w:rsidRDefault="00361CF1" w:rsidP="00361CF1">
            <w:pPr>
              <w:spacing w:line="240" w:lineRule="atLeast"/>
              <w:ind w:firstLine="566"/>
              <w:jc w:val="both"/>
              <w:rPr>
                <w:sz w:val="19"/>
                <w:szCs w:val="19"/>
                <w:lang w:val="tr-TR" w:eastAsia="tr-TR"/>
              </w:rPr>
            </w:pPr>
            <w:proofErr w:type="gramStart"/>
            <w:r w:rsidRPr="00361CF1">
              <w:rPr>
                <w:sz w:val="18"/>
                <w:szCs w:val="18"/>
                <w:lang w:val="tr-TR" w:eastAsia="tr-TR"/>
              </w:rPr>
              <w:t>4/1/1961</w:t>
            </w:r>
            <w:proofErr w:type="gramEnd"/>
            <w:r w:rsidRPr="00361CF1">
              <w:rPr>
                <w:sz w:val="18"/>
                <w:szCs w:val="18"/>
                <w:lang w:val="tr-TR" w:eastAsia="tr-TR"/>
              </w:rPr>
              <w:t xml:space="preserve"> tarihli ve 213 sayılı Vergi Usul Kanununun mükerrer 257 </w:t>
            </w:r>
            <w:proofErr w:type="spellStart"/>
            <w:r w:rsidRPr="00361CF1">
              <w:rPr>
                <w:sz w:val="18"/>
                <w:szCs w:val="18"/>
                <w:lang w:val="tr-TR" w:eastAsia="tr-TR"/>
              </w:rPr>
              <w:t>nci</w:t>
            </w:r>
            <w:proofErr w:type="spellEnd"/>
            <w:r w:rsidRPr="00361CF1">
              <w:rPr>
                <w:sz w:val="18"/>
                <w:szCs w:val="18"/>
                <w:lang w:val="tr-TR" w:eastAsia="tr-TR"/>
              </w:rPr>
              <w:t xml:space="preserve"> maddesinin birinci fıkrasının (2) numaralı bendinde Maliye Bakanlığına mükelleflere muameleleri ile ilgili tahsilat ve ödemelerini bankalar, benzeri finans kurumları veya posta idarelerince düzenlenen belgelerle tevsik etmeleri zorunluluğunu getirme ve bu zorunluluğun kapsamını ve uygulamaya ilişkin usul ve esaslarını belirleme yetkisi verilmiştir.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Vergi Usul Kanununun yukarıda belirtilen hükmünün Maliye Bakanlığına verdiği yetkiye istinaden yapılan düzenlemeler aşağıda yer almaktadır.</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3. Tanımlar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Bu Tebliğde geçen;</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 xml:space="preserve">a) Aracı finansal kurum: Bu Tebliğ uygulaması bakımından tahsilat ve ödemelere aracılık eden </w:t>
            </w:r>
            <w:proofErr w:type="gramStart"/>
            <w:r w:rsidRPr="00361CF1">
              <w:rPr>
                <w:sz w:val="18"/>
                <w:szCs w:val="18"/>
                <w:lang w:val="tr-TR" w:eastAsia="tr-TR"/>
              </w:rPr>
              <w:t>19/10/2005</w:t>
            </w:r>
            <w:proofErr w:type="gramEnd"/>
            <w:r w:rsidRPr="00361CF1">
              <w:rPr>
                <w:sz w:val="18"/>
                <w:szCs w:val="18"/>
                <w:lang w:val="tr-TR" w:eastAsia="tr-TR"/>
              </w:rPr>
              <w:t xml:space="preserve"> tarihli ve 5411 sayılı Bankacılık Kanununda tanımlanan bankayı, 29/6/2013 tarihli ve 6493 sayılı Ödeme ve Menkul Kıymet Mutabakat Sistemleri, Ödeme Hizmetleri ve Elektronik Para Kuruluşları Hakkında Kanun kapsamında yetkilendirilmiş ödeme kuruluşlarını ve 9/5/2013 tarihli ve 6475 sayılı Posta Hizmetleri Kanununa göre kurulan Posta ve Telgraf Teşkilatı Anonim Şirketini,</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b) Ödeme: Nakit ve her an kullanıma hazır banka varlığından oluşan ödeme mevcudundaki azalışı,</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c) Tahsilat: Nakit ve her an kullanıma hazır banka varlığından oluşan ödeme mevcudundaki artışı,</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 xml:space="preserve">ç) Tevsik zorunluluğu kapsamında olanlar: Bu Tebliğ uygulaması bakımından, Vergi Usul Kanununun 232 </w:t>
            </w:r>
            <w:proofErr w:type="spellStart"/>
            <w:r w:rsidRPr="00361CF1">
              <w:rPr>
                <w:sz w:val="18"/>
                <w:szCs w:val="18"/>
                <w:lang w:val="tr-TR" w:eastAsia="tr-TR"/>
              </w:rPr>
              <w:t>nci</w:t>
            </w:r>
            <w:proofErr w:type="spellEnd"/>
            <w:r w:rsidRPr="00361CF1">
              <w:rPr>
                <w:sz w:val="18"/>
                <w:szCs w:val="18"/>
                <w:lang w:val="tr-TR" w:eastAsia="tr-TR"/>
              </w:rPr>
              <w:t xml:space="preserve"> maddesinin birinci fıkrası kapsamında fatura almak zorunda olan birinci ve ikinci sınıf tüccarları, serbest meslek erbabını, kazançları basit usulde tespit olunan tüccarları, defter tutmak mecburiyetinde olan çiftçileri, vergiden muaf esnafı,</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d) Tevsik zorunluluğu kapsamında olmayanlar: Bu Tebliğ uygulaması bakımından tevsik zorunluluğu kapsamında olanlar dışında kalanları</w:t>
            </w:r>
          </w:p>
          <w:p w:rsidR="00361CF1" w:rsidRPr="00361CF1" w:rsidRDefault="00361CF1" w:rsidP="00361CF1">
            <w:pPr>
              <w:spacing w:line="240" w:lineRule="atLeast"/>
              <w:ind w:firstLine="566"/>
              <w:jc w:val="both"/>
              <w:rPr>
                <w:sz w:val="19"/>
                <w:szCs w:val="19"/>
                <w:lang w:val="tr-TR" w:eastAsia="tr-TR"/>
              </w:rPr>
            </w:pPr>
            <w:proofErr w:type="gramStart"/>
            <w:r w:rsidRPr="00361CF1">
              <w:rPr>
                <w:sz w:val="18"/>
                <w:szCs w:val="18"/>
                <w:lang w:val="tr-TR" w:eastAsia="tr-TR"/>
              </w:rPr>
              <w:t>ifade</w:t>
            </w:r>
            <w:proofErr w:type="gramEnd"/>
            <w:r w:rsidRPr="00361CF1">
              <w:rPr>
                <w:sz w:val="18"/>
                <w:szCs w:val="18"/>
                <w:lang w:val="tr-TR" w:eastAsia="tr-TR"/>
              </w:rPr>
              <w:t xml:space="preserve"> eder.</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4. Tevsik Zorunluluğunun Kapsamı ve Tutarı</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4.1. Kapsam ve Tutar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Tevsik zorunluluğu kapsamında olanların, kendi aralarında ve tevsik zorunluluğu kapsamında olmayanlarla yapacakları, 7.000 TL’yi aşan tutardaki her türlü tahsilat ve ödemelerini aracı finansal kurumlar kanalıyla yapmaları ve bu tahsilat ve ödemeleri söz konusu kurumlarca düzenlenen belgeler ile tevsik etmeleri zorunludur.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Bu kapsamda örneğin;</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 Her türlü mal teslimi veya hizmet ifasına ilişkin tahsilat ve ödemelerin,</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 Avans, depozito, pey akçesi gibi suretlerle yapılacak tahsilat ve ödemelerin,</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 İşletmelerin kendi ortakları ve/veya diğer gerçek ve tüzel kişilerle yaptığı her türlü tahsilat ve ödemelerin</w:t>
            </w:r>
          </w:p>
          <w:p w:rsidR="00361CF1" w:rsidRPr="00361CF1" w:rsidRDefault="00361CF1" w:rsidP="00361CF1">
            <w:pPr>
              <w:spacing w:line="240" w:lineRule="atLeast"/>
              <w:ind w:firstLine="566"/>
              <w:jc w:val="both"/>
              <w:rPr>
                <w:sz w:val="19"/>
                <w:szCs w:val="19"/>
                <w:lang w:val="tr-TR" w:eastAsia="tr-TR"/>
              </w:rPr>
            </w:pPr>
            <w:proofErr w:type="gramStart"/>
            <w:r w:rsidRPr="00361CF1">
              <w:rPr>
                <w:sz w:val="18"/>
                <w:szCs w:val="18"/>
                <w:lang w:val="tr-TR" w:eastAsia="tr-TR"/>
              </w:rPr>
              <w:t>belirlenen</w:t>
            </w:r>
            <w:proofErr w:type="gramEnd"/>
            <w:r w:rsidRPr="00361CF1">
              <w:rPr>
                <w:sz w:val="18"/>
                <w:szCs w:val="18"/>
                <w:lang w:val="tr-TR" w:eastAsia="tr-TR"/>
              </w:rPr>
              <w:t xml:space="preserve"> haddi aşması durumunda, aracı finansal kurumlar kanalıyla yapılması ve bu işlemlerin söz konusu kurumlarca düzenlenen belgeler ile tevsik edilmesi zorunludur.</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4.1.1. Aynı Günde Aynı Kişi veya Kurumlarla Yapılan İşlemler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Aynı günde aynı kişi veya kurumlarla yapılan işlemlerin toplam tutarının bu Tebliğin (</w:t>
            </w:r>
            <w:proofErr w:type="gramStart"/>
            <w:r w:rsidRPr="00361CF1">
              <w:rPr>
                <w:sz w:val="18"/>
                <w:szCs w:val="18"/>
                <w:lang w:val="tr-TR" w:eastAsia="tr-TR"/>
              </w:rPr>
              <w:t>4.1</w:t>
            </w:r>
            <w:proofErr w:type="gramEnd"/>
            <w:r w:rsidRPr="00361CF1">
              <w:rPr>
                <w:sz w:val="18"/>
                <w:szCs w:val="18"/>
                <w:lang w:val="tr-TR" w:eastAsia="tr-TR"/>
              </w:rPr>
              <w:t>.) bölümünde belirlenen haddi aşması durumunda, işlemlerin her biri işlem bazında belirlenen haddin altında kalsa bile, aştığı işlemden itibaren işleme konu tahsilat ve ödemelerin de aracı finansal kurumlar aracılığıyla yapılması zorunludur.</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Örnek: </w:t>
            </w:r>
            <w:r w:rsidRPr="00361CF1">
              <w:rPr>
                <w:sz w:val="18"/>
                <w:szCs w:val="18"/>
                <w:lang w:val="tr-TR" w:eastAsia="tr-TR"/>
              </w:rPr>
              <w:t>Tevsik zorunluluğu kapsamında olan (A) A.Ş</w:t>
            </w:r>
            <w:proofErr w:type="gramStart"/>
            <w:r w:rsidRPr="00361CF1">
              <w:rPr>
                <w:sz w:val="18"/>
                <w:szCs w:val="18"/>
                <w:lang w:val="tr-TR" w:eastAsia="tr-TR"/>
              </w:rPr>
              <w:t>.,</w:t>
            </w:r>
            <w:proofErr w:type="gramEnd"/>
            <w:r w:rsidRPr="00361CF1">
              <w:rPr>
                <w:sz w:val="18"/>
                <w:szCs w:val="18"/>
                <w:lang w:val="tr-TR" w:eastAsia="tr-TR"/>
              </w:rPr>
              <w:t xml:space="preserve"> aynı gün içerisinde (B) Ltd. Şti.’</w:t>
            </w:r>
            <w:proofErr w:type="spellStart"/>
            <w:r w:rsidRPr="00361CF1">
              <w:rPr>
                <w:sz w:val="18"/>
                <w:szCs w:val="18"/>
                <w:lang w:val="tr-TR" w:eastAsia="tr-TR"/>
              </w:rPr>
              <w:t>nden</w:t>
            </w:r>
            <w:proofErr w:type="spellEnd"/>
            <w:r w:rsidRPr="00361CF1">
              <w:rPr>
                <w:sz w:val="18"/>
                <w:szCs w:val="18"/>
                <w:lang w:val="tr-TR" w:eastAsia="tr-TR"/>
              </w:rPr>
              <w:t xml:space="preserve"> sırasıyla 1.000 TL, 3.000 TL, 3.500 TL ve 500 TL tutarında ayrı ayrı mal alımları gerçekleştirmiştir. Tevsik zorunluluğu kapsamında olan (A) A.Ş.’</w:t>
            </w:r>
            <w:proofErr w:type="spellStart"/>
            <w:r w:rsidRPr="00361CF1">
              <w:rPr>
                <w:sz w:val="18"/>
                <w:szCs w:val="18"/>
                <w:lang w:val="tr-TR" w:eastAsia="tr-TR"/>
              </w:rPr>
              <w:t>nin</w:t>
            </w:r>
            <w:proofErr w:type="spellEnd"/>
            <w:r w:rsidRPr="00361CF1">
              <w:rPr>
                <w:sz w:val="18"/>
                <w:szCs w:val="18"/>
                <w:lang w:val="tr-TR" w:eastAsia="tr-TR"/>
              </w:rPr>
              <w:t xml:space="preserve"> (B) Ltd. Şti.’</w:t>
            </w:r>
            <w:proofErr w:type="spellStart"/>
            <w:r w:rsidRPr="00361CF1">
              <w:rPr>
                <w:sz w:val="18"/>
                <w:szCs w:val="18"/>
                <w:lang w:val="tr-TR" w:eastAsia="tr-TR"/>
              </w:rPr>
              <w:t>nden</w:t>
            </w:r>
            <w:proofErr w:type="spellEnd"/>
            <w:r w:rsidRPr="00361CF1">
              <w:rPr>
                <w:sz w:val="18"/>
                <w:szCs w:val="18"/>
                <w:lang w:val="tr-TR" w:eastAsia="tr-TR"/>
              </w:rPr>
              <w:t xml:space="preserve"> aynı günde yaptığı mal alımları toplamı 3.500 TL’lik alımla 7.000 TL’lik haddi aştığından, son iki işleme ait tahsilat ve ödemelerin tevsik zorunluluğu kapsamında aracı finansal kurumlar kanalıyla yapılması gerekmektedir.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 xml:space="preserve">Söz konusu tahsilat ve ödemelerde tevsik zorunluluğuna uyulmaması durumunda (A) A.Ş. ile (B) Ltd. </w:t>
            </w:r>
            <w:proofErr w:type="spellStart"/>
            <w:r w:rsidRPr="00361CF1">
              <w:rPr>
                <w:sz w:val="18"/>
                <w:szCs w:val="18"/>
                <w:lang w:val="tr-TR" w:eastAsia="tr-TR"/>
              </w:rPr>
              <w:t>Şti.’ne</w:t>
            </w:r>
            <w:proofErr w:type="spellEnd"/>
            <w:r w:rsidRPr="00361CF1">
              <w:rPr>
                <w:sz w:val="18"/>
                <w:szCs w:val="18"/>
                <w:lang w:val="tr-TR" w:eastAsia="tr-TR"/>
              </w:rPr>
              <w:t xml:space="preserve"> ayrı ayrı ceza uygulanacaktır.</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lastRenderedPageBreak/>
              <w:t xml:space="preserve">4.1.2. Kısım </w:t>
            </w:r>
            <w:proofErr w:type="spellStart"/>
            <w:r w:rsidRPr="00361CF1">
              <w:rPr>
                <w:b/>
                <w:bCs/>
                <w:sz w:val="18"/>
                <w:szCs w:val="18"/>
                <w:lang w:val="tr-TR" w:eastAsia="tr-TR"/>
              </w:rPr>
              <w:t>Kısım</w:t>
            </w:r>
            <w:proofErr w:type="spellEnd"/>
            <w:r w:rsidRPr="00361CF1">
              <w:rPr>
                <w:b/>
                <w:bCs/>
                <w:sz w:val="18"/>
                <w:szCs w:val="18"/>
                <w:lang w:val="tr-TR" w:eastAsia="tr-TR"/>
              </w:rPr>
              <w:t xml:space="preserve"> Yapılan Tahsilat ve Ödemeler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Tahsilat ve ödemeye konu işlem tutarının tevsik zorunluluğu kapsamında bu Tebliğin (</w:t>
            </w:r>
            <w:proofErr w:type="gramStart"/>
            <w:r w:rsidRPr="00361CF1">
              <w:rPr>
                <w:sz w:val="18"/>
                <w:szCs w:val="18"/>
                <w:lang w:val="tr-TR" w:eastAsia="tr-TR"/>
              </w:rPr>
              <w:t>4.1</w:t>
            </w:r>
            <w:proofErr w:type="gramEnd"/>
            <w:r w:rsidRPr="00361CF1">
              <w:rPr>
                <w:sz w:val="18"/>
                <w:szCs w:val="18"/>
                <w:lang w:val="tr-TR" w:eastAsia="tr-TR"/>
              </w:rPr>
              <w:t xml:space="preserve">.) bölümünde belirlenen haddi aşması halinde, bedelin farklı tarihlerde kısım </w:t>
            </w:r>
            <w:proofErr w:type="spellStart"/>
            <w:r w:rsidRPr="00361CF1">
              <w:rPr>
                <w:sz w:val="18"/>
                <w:szCs w:val="18"/>
                <w:lang w:val="tr-TR" w:eastAsia="tr-TR"/>
              </w:rPr>
              <w:t>kısım</w:t>
            </w:r>
            <w:proofErr w:type="spellEnd"/>
            <w:r w:rsidRPr="00361CF1">
              <w:rPr>
                <w:sz w:val="18"/>
                <w:szCs w:val="18"/>
                <w:lang w:val="tr-TR" w:eastAsia="tr-TR"/>
              </w:rPr>
              <w:t xml:space="preserve"> ödenmesinde işlemin toplam tutarı dikkate alınacak ve her bir tahsilat ve ödeme, tevsik zorunluluğu kapsamında aracı finansal kurumlar kanalıyla gerçekleştirilecektir.</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Örnek: </w:t>
            </w:r>
            <w:r w:rsidRPr="00361CF1">
              <w:rPr>
                <w:sz w:val="18"/>
                <w:szCs w:val="18"/>
                <w:lang w:val="tr-TR" w:eastAsia="tr-TR"/>
              </w:rPr>
              <w:t xml:space="preserve">Serbest meslek erbabı (C), (D) </w:t>
            </w:r>
            <w:proofErr w:type="spellStart"/>
            <w:r w:rsidRPr="00361CF1">
              <w:rPr>
                <w:sz w:val="18"/>
                <w:szCs w:val="18"/>
                <w:lang w:val="tr-TR" w:eastAsia="tr-TR"/>
              </w:rPr>
              <w:t>A.Ş.’ye</w:t>
            </w:r>
            <w:proofErr w:type="spellEnd"/>
            <w:r w:rsidRPr="00361CF1">
              <w:rPr>
                <w:sz w:val="18"/>
                <w:szCs w:val="18"/>
                <w:lang w:val="tr-TR" w:eastAsia="tr-TR"/>
              </w:rPr>
              <w:t xml:space="preserve"> bir yıl süreyle vereceği hizmet karşılığında 12.000 TL alacaktır. Aralarındaki anlaşma gereği (D) A.Ş</w:t>
            </w:r>
            <w:proofErr w:type="gramStart"/>
            <w:r w:rsidRPr="00361CF1">
              <w:rPr>
                <w:sz w:val="18"/>
                <w:szCs w:val="18"/>
                <w:lang w:val="tr-TR" w:eastAsia="tr-TR"/>
              </w:rPr>
              <w:t>.,</w:t>
            </w:r>
            <w:proofErr w:type="gramEnd"/>
            <w:r w:rsidRPr="00361CF1">
              <w:rPr>
                <w:sz w:val="18"/>
                <w:szCs w:val="18"/>
                <w:lang w:val="tr-TR" w:eastAsia="tr-TR"/>
              </w:rPr>
              <w:t xml:space="preserve"> hizmet bedelini 1.000 TL’lik taksitler halinde ödeyecektir. Bu durumda serbest meslek makbuzunun, taksitlerin ödendiği tarihlerde 1.000 TL üzerinden düzenlenmesi tevsik zorunluluğunu ortadan kaldırmayacak, sözleşmenin toplam tutarı belirlenen haddi aştığından kısım </w:t>
            </w:r>
            <w:proofErr w:type="spellStart"/>
            <w:r w:rsidRPr="00361CF1">
              <w:rPr>
                <w:sz w:val="18"/>
                <w:szCs w:val="18"/>
                <w:lang w:val="tr-TR" w:eastAsia="tr-TR"/>
              </w:rPr>
              <w:t>kısım</w:t>
            </w:r>
            <w:proofErr w:type="spellEnd"/>
            <w:r w:rsidRPr="00361CF1">
              <w:rPr>
                <w:sz w:val="18"/>
                <w:szCs w:val="18"/>
                <w:lang w:val="tr-TR" w:eastAsia="tr-TR"/>
              </w:rPr>
              <w:t xml:space="preserve"> yapılan her bir tahsilat ve ödeme de aracı finansal kurumlar kanalıyla tevsik edilecektir.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 xml:space="preserve">Söz konusu tahsilat ve ödemelerde tevsik zorunluluğuna uyulmaması durumunda serbest meslek erbabı (C) ile (D) </w:t>
            </w:r>
            <w:proofErr w:type="spellStart"/>
            <w:r w:rsidRPr="00361CF1">
              <w:rPr>
                <w:sz w:val="18"/>
                <w:szCs w:val="18"/>
                <w:lang w:val="tr-TR" w:eastAsia="tr-TR"/>
              </w:rPr>
              <w:t>A.Ş.’ye</w:t>
            </w:r>
            <w:proofErr w:type="spellEnd"/>
            <w:r w:rsidRPr="00361CF1">
              <w:rPr>
                <w:sz w:val="18"/>
                <w:szCs w:val="18"/>
                <w:lang w:val="tr-TR" w:eastAsia="tr-TR"/>
              </w:rPr>
              <w:t xml:space="preserve"> ayrı ayrı ceza uygulanacaktır.</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4.2. Kapsamda Olmayan Tahsilat ve Ödemeler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 xml:space="preserve">a) </w:t>
            </w:r>
            <w:proofErr w:type="gramStart"/>
            <w:r w:rsidRPr="00361CF1">
              <w:rPr>
                <w:sz w:val="18"/>
                <w:szCs w:val="18"/>
                <w:lang w:val="tr-TR" w:eastAsia="tr-TR"/>
              </w:rPr>
              <w:t>10/12/2003</w:t>
            </w:r>
            <w:proofErr w:type="gramEnd"/>
            <w:r w:rsidRPr="00361CF1">
              <w:rPr>
                <w:sz w:val="18"/>
                <w:szCs w:val="18"/>
                <w:lang w:val="tr-TR" w:eastAsia="tr-TR"/>
              </w:rPr>
              <w:t xml:space="preserve"> tarihli ve 5018 sayılı Kamu Mali Yönetimi ve Kontrol Kanununda yer alan merkezi yönetim kapsamındaki kamu idareleri ile bunlara ait döner sermaye işletmelerinin işlemlerine konu tahsilat ve ödemelerin,</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 xml:space="preserve">b) </w:t>
            </w:r>
            <w:proofErr w:type="gramStart"/>
            <w:r w:rsidRPr="00361CF1">
              <w:rPr>
                <w:sz w:val="18"/>
                <w:szCs w:val="18"/>
                <w:lang w:val="tr-TR" w:eastAsia="tr-TR"/>
              </w:rPr>
              <w:t>6/12/2012</w:t>
            </w:r>
            <w:proofErr w:type="gramEnd"/>
            <w:r w:rsidRPr="00361CF1">
              <w:rPr>
                <w:sz w:val="18"/>
                <w:szCs w:val="18"/>
                <w:lang w:val="tr-TR" w:eastAsia="tr-TR"/>
              </w:rPr>
              <w:t xml:space="preserve"> tarihli ve 6362 sayılı Sermaye Piyasası Kanununda tanımlanan sermaye piyasası aracı kurumlarında yapılan işlemlere konu tahsilat ve ödemelerin,</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 xml:space="preserve">c) </w:t>
            </w:r>
            <w:proofErr w:type="gramStart"/>
            <w:r w:rsidRPr="00361CF1">
              <w:rPr>
                <w:sz w:val="18"/>
                <w:szCs w:val="18"/>
                <w:lang w:val="tr-TR" w:eastAsia="tr-TR"/>
              </w:rPr>
              <w:t>11/8/1989</w:t>
            </w:r>
            <w:proofErr w:type="gramEnd"/>
            <w:r w:rsidRPr="00361CF1">
              <w:rPr>
                <w:sz w:val="18"/>
                <w:szCs w:val="18"/>
                <w:lang w:val="tr-TR" w:eastAsia="tr-TR"/>
              </w:rPr>
              <w:t xml:space="preserve"> tarihli ve 20249 sayılı Resmî </w:t>
            </w:r>
            <w:proofErr w:type="spellStart"/>
            <w:r w:rsidRPr="00361CF1">
              <w:rPr>
                <w:sz w:val="18"/>
                <w:szCs w:val="18"/>
                <w:lang w:val="tr-TR" w:eastAsia="tr-TR"/>
              </w:rPr>
              <w:t>Gazete’de</w:t>
            </w:r>
            <w:proofErr w:type="spellEnd"/>
            <w:r w:rsidRPr="00361CF1">
              <w:rPr>
                <w:sz w:val="18"/>
                <w:szCs w:val="18"/>
                <w:lang w:val="tr-TR" w:eastAsia="tr-TR"/>
              </w:rPr>
              <w:t xml:space="preserve"> yayımlanan 89/14391 sayılı Türk Parası Kıymetini Koruma Hakkında 32 sayılı Kararda tanımlanan yetkili döviz müesseselerinin yapacakları döviz alım satım işlemlerine ilişkin tahsilat ve ödemelerin,</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ç) Tapu sicil müdürlüklerinde gerçekleştirilen işlemler karşılığında yapılan tahsilat ve ödemelerin,</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d) Noterlerde gerçekleştirilen işlemler karşılığında yapılan tahsilat ve ödemelerin,</w:t>
            </w:r>
          </w:p>
          <w:p w:rsidR="00361CF1" w:rsidRPr="00361CF1" w:rsidRDefault="00361CF1" w:rsidP="00361CF1">
            <w:pPr>
              <w:spacing w:line="240" w:lineRule="atLeast"/>
              <w:ind w:firstLine="566"/>
              <w:jc w:val="both"/>
              <w:rPr>
                <w:sz w:val="19"/>
                <w:szCs w:val="19"/>
                <w:lang w:val="tr-TR" w:eastAsia="tr-TR"/>
              </w:rPr>
            </w:pPr>
            <w:proofErr w:type="gramStart"/>
            <w:r w:rsidRPr="00361CF1">
              <w:rPr>
                <w:sz w:val="18"/>
                <w:szCs w:val="18"/>
                <w:lang w:val="tr-TR" w:eastAsia="tr-TR"/>
              </w:rPr>
              <w:t>e) 5018 sayılı Kanunda yer alan merkezi yönetim kapsamındaki kamu idareleri, il özel idareleri, belediyeler ile bunların teşkil ettikleri birlikler, kanunla kurulan diğer kamu kurum ve kuruluşları, kamu kurumu niteliğindeki meslek kuruluşlarına ait veya tabi olan veyahut bunlar tarafından kurulan ve işletilen müesseseler ile döner sermayeli kuruluşlar veya bunlara ait veya tabi diğer müesseseler tarafından yapılan ihale işlemlerine ilişkin yatırılması gereken teminat tutarlarına ilişkin tahsilat ve ödemelerin</w:t>
            </w:r>
            <w:proofErr w:type="gramEnd"/>
          </w:p>
          <w:p w:rsidR="00361CF1" w:rsidRPr="00361CF1" w:rsidRDefault="00361CF1" w:rsidP="00361CF1">
            <w:pPr>
              <w:spacing w:line="240" w:lineRule="atLeast"/>
              <w:ind w:firstLine="566"/>
              <w:jc w:val="both"/>
              <w:rPr>
                <w:sz w:val="19"/>
                <w:szCs w:val="19"/>
                <w:lang w:val="tr-TR" w:eastAsia="tr-TR"/>
              </w:rPr>
            </w:pPr>
            <w:proofErr w:type="gramStart"/>
            <w:r w:rsidRPr="00361CF1">
              <w:rPr>
                <w:sz w:val="18"/>
                <w:szCs w:val="18"/>
                <w:lang w:val="tr-TR" w:eastAsia="tr-TR"/>
              </w:rPr>
              <w:t>aracı</w:t>
            </w:r>
            <w:proofErr w:type="gramEnd"/>
            <w:r w:rsidRPr="00361CF1">
              <w:rPr>
                <w:sz w:val="18"/>
                <w:szCs w:val="18"/>
                <w:lang w:val="tr-TR" w:eastAsia="tr-TR"/>
              </w:rPr>
              <w:t xml:space="preserve"> finansal kurumlar kanalıyla yapılması zorunluluğu bulunmamaktadır.</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4.3. Diğer Hususlar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Bu Tebliğ kapsamında aracı finansal kurumlar kanalıyla yapılması zorunlu bulunan tahsilat ve ödemelerin bu kurumlarca mevzuatlarına göre düzenlenen belgelerle (</w:t>
            </w:r>
            <w:proofErr w:type="gramStart"/>
            <w:r w:rsidRPr="00361CF1">
              <w:rPr>
                <w:sz w:val="18"/>
                <w:szCs w:val="18"/>
                <w:lang w:val="tr-TR" w:eastAsia="tr-TR"/>
              </w:rPr>
              <w:t>dekont</w:t>
            </w:r>
            <w:proofErr w:type="gramEnd"/>
            <w:r w:rsidRPr="00361CF1">
              <w:rPr>
                <w:sz w:val="18"/>
                <w:szCs w:val="18"/>
                <w:lang w:val="tr-TR" w:eastAsia="tr-TR"/>
              </w:rPr>
              <w:t>, hesap bildirim cetveli, alındı vb.) tevsiki zorunludur.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Tevsik zorunluluğu kapsamında yapılan işlemler için aracı finansal kurumlar tarafından düzenlenen belgeler yapılan işlemi değil o işleme ilişkin tahsilat veya ödemeyi tevsik etmektedir. Dolayısıyla tahsilat ve ödemelerin tevsik zorunluluğu kapsamında aracı finansal kurumlar kanalıyla yapılması, bu zorunluluğu ortaya çıkaran işleme ilişkin olarak Vergi Usul Kanununda yer alan belgeleri düzenleme zorunluluğunu ortadan kaldırmayacaktır.</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5. Ceza Uygulaması</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Tahsilat ve ödemelerin aracı finansal kurumlar kanalıyla yapılması zorunluluğuna uyulmaması durumunda ilgililere Vergi Usul Kanununda yer alan cezalar tatbik edilir.</w:t>
            </w:r>
          </w:p>
          <w:p w:rsidR="00361CF1" w:rsidRPr="00361CF1" w:rsidRDefault="00361CF1" w:rsidP="00361CF1">
            <w:pPr>
              <w:spacing w:line="240" w:lineRule="atLeast"/>
              <w:ind w:firstLine="566"/>
              <w:jc w:val="both"/>
              <w:rPr>
                <w:sz w:val="19"/>
                <w:szCs w:val="19"/>
                <w:lang w:val="tr-TR" w:eastAsia="tr-TR"/>
              </w:rPr>
            </w:pPr>
            <w:r w:rsidRPr="00361CF1">
              <w:rPr>
                <w:b/>
                <w:bCs/>
                <w:sz w:val="18"/>
                <w:szCs w:val="18"/>
                <w:lang w:val="tr-TR" w:eastAsia="tr-TR"/>
              </w:rPr>
              <w:t>6. Yürürlük</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 xml:space="preserve">Bu Tebliğ </w:t>
            </w:r>
            <w:proofErr w:type="gramStart"/>
            <w:r w:rsidRPr="00361CF1">
              <w:rPr>
                <w:sz w:val="18"/>
                <w:szCs w:val="18"/>
                <w:lang w:val="tr-TR" w:eastAsia="tr-TR"/>
              </w:rPr>
              <w:t>1/1/2016</w:t>
            </w:r>
            <w:proofErr w:type="gramEnd"/>
            <w:r w:rsidRPr="00361CF1">
              <w:rPr>
                <w:sz w:val="18"/>
                <w:szCs w:val="18"/>
                <w:lang w:val="tr-TR" w:eastAsia="tr-TR"/>
              </w:rPr>
              <w:t xml:space="preserve"> tarihinde yürürlüğe girer.</w:t>
            </w:r>
          </w:p>
          <w:p w:rsidR="00361CF1" w:rsidRPr="00361CF1" w:rsidRDefault="00361CF1" w:rsidP="00361CF1">
            <w:pPr>
              <w:spacing w:line="240" w:lineRule="atLeast"/>
              <w:ind w:firstLine="566"/>
              <w:jc w:val="both"/>
              <w:rPr>
                <w:sz w:val="19"/>
                <w:szCs w:val="19"/>
                <w:lang w:val="tr-TR" w:eastAsia="tr-TR"/>
              </w:rPr>
            </w:pPr>
            <w:r w:rsidRPr="00361CF1">
              <w:rPr>
                <w:sz w:val="18"/>
                <w:szCs w:val="18"/>
                <w:lang w:val="tr-TR" w:eastAsia="tr-TR"/>
              </w:rPr>
              <w:t>Tebliğ olunur.</w:t>
            </w:r>
          </w:p>
        </w:tc>
      </w:tr>
    </w:tbl>
    <w:p w:rsidR="00361CF1" w:rsidRDefault="00361CF1">
      <w:pPr>
        <w:rPr>
          <w:rFonts w:ascii="Tahoma" w:hAnsi="Tahoma" w:cs="Tahoma"/>
          <w:b/>
          <w:sz w:val="20"/>
          <w:szCs w:val="20"/>
          <w:lang w:val="tr-TR"/>
        </w:rPr>
      </w:pPr>
    </w:p>
    <w:p w:rsidR="00361CF1" w:rsidRDefault="00361CF1">
      <w:pPr>
        <w:rPr>
          <w:rFonts w:ascii="Tahoma" w:hAnsi="Tahoma" w:cs="Tahoma"/>
          <w:b/>
          <w:sz w:val="20"/>
          <w:szCs w:val="20"/>
          <w:lang w:val="tr-TR"/>
        </w:rPr>
      </w:pPr>
    </w:p>
    <w:p w:rsidR="00361CF1" w:rsidRDefault="00361CF1">
      <w:pPr>
        <w:rPr>
          <w:rFonts w:ascii="Tahoma" w:hAnsi="Tahoma" w:cs="Tahoma"/>
          <w:b/>
          <w:sz w:val="20"/>
          <w:szCs w:val="20"/>
          <w:lang w:val="tr-TR"/>
        </w:rPr>
      </w:pPr>
    </w:p>
    <w:p w:rsidR="00361CF1" w:rsidRDefault="00361CF1">
      <w:pPr>
        <w:rPr>
          <w:rFonts w:ascii="Tahoma" w:hAnsi="Tahoma" w:cs="Tahoma"/>
          <w:b/>
          <w:sz w:val="20"/>
          <w:szCs w:val="20"/>
          <w:lang w:val="tr-TR"/>
        </w:rPr>
      </w:pPr>
    </w:p>
    <w:p w:rsidR="00361CF1" w:rsidRDefault="00361CF1">
      <w:pPr>
        <w:rPr>
          <w:rFonts w:ascii="Tahoma" w:hAnsi="Tahoma" w:cs="Tahoma"/>
          <w:b/>
          <w:sz w:val="20"/>
          <w:szCs w:val="20"/>
          <w:lang w:val="tr-TR"/>
        </w:rPr>
      </w:pPr>
    </w:p>
    <w:p w:rsidR="00361CF1" w:rsidRDefault="00361CF1">
      <w:pPr>
        <w:rPr>
          <w:rFonts w:ascii="Tahoma" w:hAnsi="Tahoma" w:cs="Tahoma"/>
          <w:b/>
          <w:sz w:val="20"/>
          <w:szCs w:val="20"/>
          <w:lang w:val="tr-TR"/>
        </w:rPr>
      </w:pPr>
    </w:p>
    <w:p w:rsidR="00361CF1" w:rsidRDefault="00361CF1">
      <w:pPr>
        <w:rPr>
          <w:rFonts w:ascii="Tahoma" w:hAnsi="Tahoma" w:cs="Tahoma"/>
          <w:b/>
          <w:sz w:val="20"/>
          <w:szCs w:val="20"/>
          <w:lang w:val="tr-TR"/>
        </w:rPr>
      </w:pPr>
    </w:p>
    <w:p w:rsidR="00361CF1" w:rsidRPr="002A1A7E" w:rsidRDefault="00361CF1">
      <w:pPr>
        <w:rPr>
          <w:rFonts w:ascii="Tahoma" w:hAnsi="Tahoma" w:cs="Tahoma"/>
          <w:b/>
          <w:sz w:val="20"/>
          <w:szCs w:val="20"/>
          <w:lang w:val="tr-TR"/>
        </w:rPr>
      </w:pPr>
    </w:p>
    <w:sectPr w:rsidR="00361CF1" w:rsidRPr="002A1A7E" w:rsidSect="005A6752">
      <w:headerReference w:type="even" r:id="rId7"/>
      <w:headerReference w:type="default" r:id="rId8"/>
      <w:footerReference w:type="even" r:id="rId9"/>
      <w:footerReference w:type="default" r:id="rId10"/>
      <w:headerReference w:type="first" r:id="rId11"/>
      <w:footerReference w:type="first" r:id="rId12"/>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51" w:rsidRDefault="00575551" w:rsidP="00053CFC">
      <w:r>
        <w:separator/>
      </w:r>
    </w:p>
  </w:endnote>
  <w:endnote w:type="continuationSeparator" w:id="0">
    <w:p w:rsidR="00575551" w:rsidRDefault="00575551"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570DEC">
    <w:pPr>
      <w:pStyle w:val="Altbilgi"/>
      <w:jc w:val="center"/>
    </w:pPr>
  </w:p>
  <w:p w:rsidR="00570DEC" w:rsidRDefault="00737020">
    <w:pPr>
      <w:pStyle w:val="Altbilgi"/>
    </w:pPr>
    <w:r>
      <w:rPr>
        <w:noProof/>
        <w:lang w:val="tr-TR" w:eastAsia="tr-TR"/>
      </w:rPr>
      <w:drawing>
        <wp:anchor distT="0" distB="0" distL="114300" distR="114300" simplePos="0" relativeHeight="251658240" behindDoc="0" locked="0" layoutInCell="1" allowOverlap="1">
          <wp:simplePos x="0" y="0"/>
          <wp:positionH relativeFrom="margin">
            <wp:posOffset>-881380</wp:posOffset>
          </wp:positionH>
          <wp:positionV relativeFrom="margin">
            <wp:posOffset>8597265</wp:posOffset>
          </wp:positionV>
          <wp:extent cx="4533900" cy="1200150"/>
          <wp:effectExtent l="19050" t="0" r="0" b="0"/>
          <wp:wrapSquare wrapText="bothSides"/>
          <wp:docPr id="31" name="Resim 31" descr="alt_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_bilgi.jpg"/>
                  <pic:cNvPicPr>
                    <a:picLocks noChangeAspect="1" noChangeArrowheads="1"/>
                  </pic:cNvPicPr>
                </pic:nvPicPr>
                <pic:blipFill>
                  <a:blip r:embed="rId1"/>
                  <a:srcRect t="4167" r="36708"/>
                  <a:stretch>
                    <a:fillRect/>
                  </a:stretch>
                </pic:blipFill>
                <pic:spPr bwMode="auto">
                  <a:xfrm>
                    <a:off x="0" y="0"/>
                    <a:ext cx="4533900" cy="120015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737020">
    <w:pPr>
      <w:pStyle w:val="Altbilgi"/>
    </w:pPr>
    <w:r>
      <w:rPr>
        <w:noProof/>
        <w:lang w:val="tr-TR" w:eastAsia="tr-TR"/>
      </w:rPr>
      <w:drawing>
        <wp:anchor distT="0" distB="0" distL="114300" distR="114300" simplePos="0" relativeHeight="251659264" behindDoc="0" locked="0" layoutInCell="1" allowOverlap="1">
          <wp:simplePos x="0" y="0"/>
          <wp:positionH relativeFrom="column">
            <wp:posOffset>-900430</wp:posOffset>
          </wp:positionH>
          <wp:positionV relativeFrom="paragraph">
            <wp:posOffset>-55245</wp:posOffset>
          </wp:positionV>
          <wp:extent cx="7719695" cy="1202690"/>
          <wp:effectExtent l="19050" t="0" r="0" b="0"/>
          <wp:wrapTight wrapText="bothSides">
            <wp:wrapPolygon edited="0">
              <wp:start x="-53" y="0"/>
              <wp:lineTo x="-53" y="21212"/>
              <wp:lineTo x="21588" y="21212"/>
              <wp:lineTo x="21588" y="0"/>
              <wp:lineTo x="-53"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51" w:rsidRDefault="00575551" w:rsidP="00053CFC">
      <w:r>
        <w:separator/>
      </w:r>
    </w:p>
  </w:footnote>
  <w:footnote w:type="continuationSeparator" w:id="0">
    <w:p w:rsidR="00575551" w:rsidRDefault="00575551"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737020" w:rsidP="009B48EA">
    <w:pPr>
      <w:pStyle w:val="stbilgi"/>
      <w:ind w:right="360"/>
      <w:rPr>
        <w:lang w:val="tr-TR"/>
      </w:rPr>
    </w:pPr>
    <w:r>
      <w:rPr>
        <w:noProof/>
        <w:lang w:val="tr-TR" w:eastAsia="tr-TR"/>
      </w:rPr>
      <w:drawing>
        <wp:anchor distT="0" distB="0" distL="114300" distR="114300" simplePos="0" relativeHeight="251656192" behindDoc="0" locked="0" layoutInCell="1" allowOverlap="1">
          <wp:simplePos x="0" y="0"/>
          <wp:positionH relativeFrom="column">
            <wp:posOffset>3543300</wp:posOffset>
          </wp:positionH>
          <wp:positionV relativeFrom="paragraph">
            <wp:posOffset>78105</wp:posOffset>
          </wp:positionV>
          <wp:extent cx="2134235" cy="406400"/>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134235" cy="406400"/>
                  </a:xfrm>
                  <a:prstGeom prst="rect">
                    <a:avLst/>
                  </a:prstGeom>
                  <a:noFill/>
                </pic:spPr>
              </pic:pic>
            </a:graphicData>
          </a:graphic>
        </wp:anchor>
      </w:drawing>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737020">
    <w:pPr>
      <w:pStyle w:val="stbilgi"/>
    </w:pPr>
    <w:r>
      <w:rPr>
        <w:noProof/>
        <w:lang w:val="tr-TR" w:eastAsia="tr-TR"/>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24765</wp:posOffset>
          </wp:positionV>
          <wp:extent cx="3209925" cy="427355"/>
          <wp:effectExtent l="1905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209925" cy="427355"/>
                  </a:xfrm>
                  <a:prstGeom prst="rect">
                    <a:avLst/>
                  </a:prstGeom>
                  <a:noFill/>
                </pic:spPr>
              </pic:pic>
            </a:graphicData>
          </a:graphic>
        </wp:anchor>
      </w:drawing>
    </w:r>
  </w:p>
  <w:p w:rsidR="00570DEC" w:rsidRDefault="00570D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
      </v:shape>
    </w:pict>
  </w:numPicBullet>
  <w:abstractNum w:abstractNumId="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nsid w:val="5EE41160"/>
    <w:multiLevelType w:val="hybridMultilevel"/>
    <w:tmpl w:val="DCE030A6"/>
    <w:lvl w:ilvl="0" w:tplc="5A7E02B2">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54950BA"/>
    <w:multiLevelType w:val="hybridMultilevel"/>
    <w:tmpl w:val="B740AE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9"/>
  </w:num>
  <w:num w:numId="5">
    <w:abstractNumId w:val="14"/>
  </w:num>
  <w:num w:numId="6">
    <w:abstractNumId w:val="10"/>
  </w:num>
  <w:num w:numId="7">
    <w:abstractNumId w:val="7"/>
  </w:num>
  <w:num w:numId="8">
    <w:abstractNumId w:val="2"/>
  </w:num>
  <w:num w:numId="9">
    <w:abstractNumId w:val="9"/>
  </w:num>
  <w:num w:numId="10">
    <w:abstractNumId w:val="5"/>
  </w:num>
  <w:num w:numId="11">
    <w:abstractNumId w:val="20"/>
  </w:num>
  <w:num w:numId="12">
    <w:abstractNumId w:val="16"/>
  </w:num>
  <w:num w:numId="13">
    <w:abstractNumId w:val="1"/>
  </w:num>
  <w:num w:numId="14">
    <w:abstractNumId w:val="11"/>
  </w:num>
  <w:num w:numId="15">
    <w:abstractNumId w:val="4"/>
  </w:num>
  <w:num w:numId="16">
    <w:abstractNumId w:val="21"/>
  </w:num>
  <w:num w:numId="17">
    <w:abstractNumId w:val="3"/>
  </w:num>
  <w:num w:numId="18">
    <w:abstractNumId w:val="12"/>
  </w:num>
  <w:num w:numId="19">
    <w:abstractNumId w:val="17"/>
  </w:num>
  <w:num w:numId="20">
    <w:abstractNumId w:val="15"/>
  </w:num>
  <w:num w:numId="21">
    <w:abstractNumId w:val="13"/>
  </w:num>
  <w:num w:numId="22">
    <w:abstractNumId w:val="23"/>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28B3"/>
    <w:rsid w:val="00000088"/>
    <w:rsid w:val="000002D0"/>
    <w:rsid w:val="00000D6C"/>
    <w:rsid w:val="000023A2"/>
    <w:rsid w:val="000023B7"/>
    <w:rsid w:val="000026FE"/>
    <w:rsid w:val="000030A3"/>
    <w:rsid w:val="00006DB2"/>
    <w:rsid w:val="0001129F"/>
    <w:rsid w:val="00012C44"/>
    <w:rsid w:val="000168A8"/>
    <w:rsid w:val="00017603"/>
    <w:rsid w:val="00017CDF"/>
    <w:rsid w:val="00023100"/>
    <w:rsid w:val="00023C34"/>
    <w:rsid w:val="00025E27"/>
    <w:rsid w:val="0002652B"/>
    <w:rsid w:val="00027ACF"/>
    <w:rsid w:val="000307A9"/>
    <w:rsid w:val="000324D1"/>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7167"/>
    <w:rsid w:val="000B07BE"/>
    <w:rsid w:val="000B3269"/>
    <w:rsid w:val="000C3D37"/>
    <w:rsid w:val="000D0660"/>
    <w:rsid w:val="000D38D7"/>
    <w:rsid w:val="000D3EAB"/>
    <w:rsid w:val="000D5B37"/>
    <w:rsid w:val="000E5462"/>
    <w:rsid w:val="000E7B06"/>
    <w:rsid w:val="000F2C2F"/>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7A0F"/>
    <w:rsid w:val="00117FF3"/>
    <w:rsid w:val="00120081"/>
    <w:rsid w:val="00126CED"/>
    <w:rsid w:val="0013197A"/>
    <w:rsid w:val="00140806"/>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806B4"/>
    <w:rsid w:val="00181126"/>
    <w:rsid w:val="00182893"/>
    <w:rsid w:val="00187162"/>
    <w:rsid w:val="00187B08"/>
    <w:rsid w:val="00195BC7"/>
    <w:rsid w:val="001978B7"/>
    <w:rsid w:val="00197D0F"/>
    <w:rsid w:val="00197EF0"/>
    <w:rsid w:val="001A00C2"/>
    <w:rsid w:val="001A2358"/>
    <w:rsid w:val="001A7ED9"/>
    <w:rsid w:val="001B1F99"/>
    <w:rsid w:val="001B2201"/>
    <w:rsid w:val="001B3258"/>
    <w:rsid w:val="001B4CAB"/>
    <w:rsid w:val="001B55A8"/>
    <w:rsid w:val="001B7FDD"/>
    <w:rsid w:val="001C6DE1"/>
    <w:rsid w:val="001C7E59"/>
    <w:rsid w:val="001D3412"/>
    <w:rsid w:val="001D4964"/>
    <w:rsid w:val="001E36EC"/>
    <w:rsid w:val="001E59C1"/>
    <w:rsid w:val="001F5A9F"/>
    <w:rsid w:val="001F71EC"/>
    <w:rsid w:val="00203D4C"/>
    <w:rsid w:val="00204BB5"/>
    <w:rsid w:val="00210BEA"/>
    <w:rsid w:val="00217FDA"/>
    <w:rsid w:val="00225392"/>
    <w:rsid w:val="00236107"/>
    <w:rsid w:val="0023667F"/>
    <w:rsid w:val="00236D71"/>
    <w:rsid w:val="00237BA0"/>
    <w:rsid w:val="00240627"/>
    <w:rsid w:val="00240B5B"/>
    <w:rsid w:val="00241A04"/>
    <w:rsid w:val="00242957"/>
    <w:rsid w:val="0024322B"/>
    <w:rsid w:val="00243D30"/>
    <w:rsid w:val="002446B1"/>
    <w:rsid w:val="002476CE"/>
    <w:rsid w:val="00254BAE"/>
    <w:rsid w:val="00255A93"/>
    <w:rsid w:val="00261743"/>
    <w:rsid w:val="00262167"/>
    <w:rsid w:val="0026267A"/>
    <w:rsid w:val="00262B5A"/>
    <w:rsid w:val="002652E7"/>
    <w:rsid w:val="00266231"/>
    <w:rsid w:val="00266DF3"/>
    <w:rsid w:val="00270DC8"/>
    <w:rsid w:val="0027112A"/>
    <w:rsid w:val="00272036"/>
    <w:rsid w:val="002737B1"/>
    <w:rsid w:val="00273E00"/>
    <w:rsid w:val="00277055"/>
    <w:rsid w:val="00277722"/>
    <w:rsid w:val="00281CC9"/>
    <w:rsid w:val="002830D2"/>
    <w:rsid w:val="00284EDA"/>
    <w:rsid w:val="0028783B"/>
    <w:rsid w:val="00287F72"/>
    <w:rsid w:val="00290004"/>
    <w:rsid w:val="0029182E"/>
    <w:rsid w:val="00292B69"/>
    <w:rsid w:val="0029359F"/>
    <w:rsid w:val="00297D34"/>
    <w:rsid w:val="002A08DC"/>
    <w:rsid w:val="002A1A7E"/>
    <w:rsid w:val="002A506A"/>
    <w:rsid w:val="002A65D0"/>
    <w:rsid w:val="002A6732"/>
    <w:rsid w:val="002A71E7"/>
    <w:rsid w:val="002A7548"/>
    <w:rsid w:val="002B0D56"/>
    <w:rsid w:val="002B190D"/>
    <w:rsid w:val="002B2797"/>
    <w:rsid w:val="002B3214"/>
    <w:rsid w:val="002B4D10"/>
    <w:rsid w:val="002C09F7"/>
    <w:rsid w:val="002C0A21"/>
    <w:rsid w:val="002C0D79"/>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5197"/>
    <w:rsid w:val="00307318"/>
    <w:rsid w:val="00311D8C"/>
    <w:rsid w:val="003129FE"/>
    <w:rsid w:val="00312D4F"/>
    <w:rsid w:val="00315BB5"/>
    <w:rsid w:val="00316124"/>
    <w:rsid w:val="00316A65"/>
    <w:rsid w:val="0032194C"/>
    <w:rsid w:val="00325529"/>
    <w:rsid w:val="00330B06"/>
    <w:rsid w:val="003319BF"/>
    <w:rsid w:val="00333851"/>
    <w:rsid w:val="00336572"/>
    <w:rsid w:val="00340921"/>
    <w:rsid w:val="00340E8A"/>
    <w:rsid w:val="003412F7"/>
    <w:rsid w:val="00342AA0"/>
    <w:rsid w:val="003449FA"/>
    <w:rsid w:val="00344B93"/>
    <w:rsid w:val="00344D46"/>
    <w:rsid w:val="00346FFB"/>
    <w:rsid w:val="0035116D"/>
    <w:rsid w:val="0035777D"/>
    <w:rsid w:val="00361CF1"/>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B315A"/>
    <w:rsid w:val="003B4C93"/>
    <w:rsid w:val="003B566E"/>
    <w:rsid w:val="003B6085"/>
    <w:rsid w:val="003B6A36"/>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0207"/>
    <w:rsid w:val="00421AB9"/>
    <w:rsid w:val="004224B2"/>
    <w:rsid w:val="00423AA0"/>
    <w:rsid w:val="00426ADA"/>
    <w:rsid w:val="00426CC2"/>
    <w:rsid w:val="00427346"/>
    <w:rsid w:val="0043131D"/>
    <w:rsid w:val="00432275"/>
    <w:rsid w:val="00432EE5"/>
    <w:rsid w:val="00432F34"/>
    <w:rsid w:val="00435CFE"/>
    <w:rsid w:val="0044159E"/>
    <w:rsid w:val="00442150"/>
    <w:rsid w:val="00444612"/>
    <w:rsid w:val="0044536C"/>
    <w:rsid w:val="004457BE"/>
    <w:rsid w:val="004524E4"/>
    <w:rsid w:val="00453CB2"/>
    <w:rsid w:val="00460042"/>
    <w:rsid w:val="00463580"/>
    <w:rsid w:val="00464626"/>
    <w:rsid w:val="004679CB"/>
    <w:rsid w:val="00467F19"/>
    <w:rsid w:val="00473890"/>
    <w:rsid w:val="00474C6E"/>
    <w:rsid w:val="00481EE6"/>
    <w:rsid w:val="00482F5C"/>
    <w:rsid w:val="00485125"/>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C09"/>
    <w:rsid w:val="004F5CFC"/>
    <w:rsid w:val="004F6B02"/>
    <w:rsid w:val="0050265A"/>
    <w:rsid w:val="00503555"/>
    <w:rsid w:val="00503694"/>
    <w:rsid w:val="0050624A"/>
    <w:rsid w:val="0050642F"/>
    <w:rsid w:val="005209AA"/>
    <w:rsid w:val="00523BCB"/>
    <w:rsid w:val="005306EE"/>
    <w:rsid w:val="00532958"/>
    <w:rsid w:val="005358D5"/>
    <w:rsid w:val="00536A12"/>
    <w:rsid w:val="0053763E"/>
    <w:rsid w:val="005377BB"/>
    <w:rsid w:val="00541B30"/>
    <w:rsid w:val="00543EE7"/>
    <w:rsid w:val="00544424"/>
    <w:rsid w:val="00546A35"/>
    <w:rsid w:val="00550AC8"/>
    <w:rsid w:val="00550E49"/>
    <w:rsid w:val="00554E88"/>
    <w:rsid w:val="005562F4"/>
    <w:rsid w:val="00560534"/>
    <w:rsid w:val="00561230"/>
    <w:rsid w:val="0056146B"/>
    <w:rsid w:val="00561EFE"/>
    <w:rsid w:val="0056521E"/>
    <w:rsid w:val="00565E63"/>
    <w:rsid w:val="00570DEC"/>
    <w:rsid w:val="00574E05"/>
    <w:rsid w:val="00575551"/>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085D"/>
    <w:rsid w:val="005B40D3"/>
    <w:rsid w:val="005B6E61"/>
    <w:rsid w:val="005B723A"/>
    <w:rsid w:val="005C17EE"/>
    <w:rsid w:val="005C1886"/>
    <w:rsid w:val="005C43DF"/>
    <w:rsid w:val="005C70F9"/>
    <w:rsid w:val="005D2AE1"/>
    <w:rsid w:val="005D3AEA"/>
    <w:rsid w:val="005D3C88"/>
    <w:rsid w:val="005E0C7E"/>
    <w:rsid w:val="005E137F"/>
    <w:rsid w:val="005E3BD2"/>
    <w:rsid w:val="005F0798"/>
    <w:rsid w:val="005F2BD8"/>
    <w:rsid w:val="005F4472"/>
    <w:rsid w:val="005F456B"/>
    <w:rsid w:val="005F5004"/>
    <w:rsid w:val="005F5A38"/>
    <w:rsid w:val="00600838"/>
    <w:rsid w:val="00601F66"/>
    <w:rsid w:val="0060294E"/>
    <w:rsid w:val="00602A13"/>
    <w:rsid w:val="00603282"/>
    <w:rsid w:val="00605583"/>
    <w:rsid w:val="00606B9B"/>
    <w:rsid w:val="0061040F"/>
    <w:rsid w:val="00612457"/>
    <w:rsid w:val="0062066D"/>
    <w:rsid w:val="00620F9C"/>
    <w:rsid w:val="006220B2"/>
    <w:rsid w:val="0062366A"/>
    <w:rsid w:val="00624493"/>
    <w:rsid w:val="00630938"/>
    <w:rsid w:val="00630C4E"/>
    <w:rsid w:val="006311CB"/>
    <w:rsid w:val="00632C34"/>
    <w:rsid w:val="00633559"/>
    <w:rsid w:val="00635E31"/>
    <w:rsid w:val="00636051"/>
    <w:rsid w:val="00636600"/>
    <w:rsid w:val="00642244"/>
    <w:rsid w:val="00643068"/>
    <w:rsid w:val="00644A66"/>
    <w:rsid w:val="00652DF8"/>
    <w:rsid w:val="00654584"/>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7AB3"/>
    <w:rsid w:val="00690009"/>
    <w:rsid w:val="006903F8"/>
    <w:rsid w:val="006A101A"/>
    <w:rsid w:val="006A4C41"/>
    <w:rsid w:val="006A6F2A"/>
    <w:rsid w:val="006A7662"/>
    <w:rsid w:val="006B20DC"/>
    <w:rsid w:val="006B47E4"/>
    <w:rsid w:val="006B54A5"/>
    <w:rsid w:val="006B5D03"/>
    <w:rsid w:val="006C13C4"/>
    <w:rsid w:val="006C1ECD"/>
    <w:rsid w:val="006C216B"/>
    <w:rsid w:val="006D0271"/>
    <w:rsid w:val="006D3C9D"/>
    <w:rsid w:val="006D55BE"/>
    <w:rsid w:val="006D67EF"/>
    <w:rsid w:val="006E0750"/>
    <w:rsid w:val="006E28B3"/>
    <w:rsid w:val="006E3F82"/>
    <w:rsid w:val="006E5663"/>
    <w:rsid w:val="006E65E3"/>
    <w:rsid w:val="006F0D8C"/>
    <w:rsid w:val="006F64AD"/>
    <w:rsid w:val="006F64EB"/>
    <w:rsid w:val="0070275E"/>
    <w:rsid w:val="0070362F"/>
    <w:rsid w:val="00704289"/>
    <w:rsid w:val="00704B84"/>
    <w:rsid w:val="00705ED4"/>
    <w:rsid w:val="007063C3"/>
    <w:rsid w:val="00706BA5"/>
    <w:rsid w:val="00710A42"/>
    <w:rsid w:val="007258D1"/>
    <w:rsid w:val="00725F9E"/>
    <w:rsid w:val="007300AF"/>
    <w:rsid w:val="00730141"/>
    <w:rsid w:val="0073041C"/>
    <w:rsid w:val="00730430"/>
    <w:rsid w:val="00730930"/>
    <w:rsid w:val="00732C89"/>
    <w:rsid w:val="0073503B"/>
    <w:rsid w:val="00737020"/>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83E99"/>
    <w:rsid w:val="00784BF5"/>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BBE"/>
    <w:rsid w:val="007E65A8"/>
    <w:rsid w:val="007F1747"/>
    <w:rsid w:val="007F7A3C"/>
    <w:rsid w:val="007F7D54"/>
    <w:rsid w:val="008008E9"/>
    <w:rsid w:val="00801E80"/>
    <w:rsid w:val="00801EBD"/>
    <w:rsid w:val="00806DB1"/>
    <w:rsid w:val="0080729C"/>
    <w:rsid w:val="008104BE"/>
    <w:rsid w:val="00810DB5"/>
    <w:rsid w:val="008116B8"/>
    <w:rsid w:val="00814307"/>
    <w:rsid w:val="0081572A"/>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8A1"/>
    <w:rsid w:val="0088781C"/>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E84"/>
    <w:rsid w:val="00970EBA"/>
    <w:rsid w:val="00971B4D"/>
    <w:rsid w:val="009722B1"/>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18F"/>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6305"/>
    <w:rsid w:val="00A4754E"/>
    <w:rsid w:val="00A50A3B"/>
    <w:rsid w:val="00A51072"/>
    <w:rsid w:val="00A53321"/>
    <w:rsid w:val="00A556AE"/>
    <w:rsid w:val="00A56D19"/>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6A52"/>
    <w:rsid w:val="00AA125E"/>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2ABF"/>
    <w:rsid w:val="00AF335D"/>
    <w:rsid w:val="00AF3829"/>
    <w:rsid w:val="00AF3DFB"/>
    <w:rsid w:val="00AF6A30"/>
    <w:rsid w:val="00B015B5"/>
    <w:rsid w:val="00B11F4E"/>
    <w:rsid w:val="00B122B7"/>
    <w:rsid w:val="00B1526F"/>
    <w:rsid w:val="00B20939"/>
    <w:rsid w:val="00B24F54"/>
    <w:rsid w:val="00B3005B"/>
    <w:rsid w:val="00B314C5"/>
    <w:rsid w:val="00B32276"/>
    <w:rsid w:val="00B4546F"/>
    <w:rsid w:val="00B50B97"/>
    <w:rsid w:val="00B60A51"/>
    <w:rsid w:val="00B63127"/>
    <w:rsid w:val="00B67D24"/>
    <w:rsid w:val="00B70A9A"/>
    <w:rsid w:val="00B71D9A"/>
    <w:rsid w:val="00B722D2"/>
    <w:rsid w:val="00B7238F"/>
    <w:rsid w:val="00B7258C"/>
    <w:rsid w:val="00B742FD"/>
    <w:rsid w:val="00B7554F"/>
    <w:rsid w:val="00B76518"/>
    <w:rsid w:val="00B816D4"/>
    <w:rsid w:val="00B84B1D"/>
    <w:rsid w:val="00B9709A"/>
    <w:rsid w:val="00B97533"/>
    <w:rsid w:val="00BA0E13"/>
    <w:rsid w:val="00BA321B"/>
    <w:rsid w:val="00BA4BD0"/>
    <w:rsid w:val="00BA4E33"/>
    <w:rsid w:val="00BA729B"/>
    <w:rsid w:val="00BB445B"/>
    <w:rsid w:val="00BB59E1"/>
    <w:rsid w:val="00BC2B6A"/>
    <w:rsid w:val="00BC3DD0"/>
    <w:rsid w:val="00BC4897"/>
    <w:rsid w:val="00BC6B30"/>
    <w:rsid w:val="00BD0E83"/>
    <w:rsid w:val="00BD4C6E"/>
    <w:rsid w:val="00BE1C59"/>
    <w:rsid w:val="00BE234C"/>
    <w:rsid w:val="00BE6099"/>
    <w:rsid w:val="00BE6B57"/>
    <w:rsid w:val="00BF1788"/>
    <w:rsid w:val="00BF2AAA"/>
    <w:rsid w:val="00BF46B0"/>
    <w:rsid w:val="00BF6C9F"/>
    <w:rsid w:val="00BF7345"/>
    <w:rsid w:val="00C00B2E"/>
    <w:rsid w:val="00C0515F"/>
    <w:rsid w:val="00C11901"/>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6731C"/>
    <w:rsid w:val="00C70221"/>
    <w:rsid w:val="00C70CE6"/>
    <w:rsid w:val="00C75D80"/>
    <w:rsid w:val="00C76086"/>
    <w:rsid w:val="00C770FD"/>
    <w:rsid w:val="00C8022E"/>
    <w:rsid w:val="00C807B8"/>
    <w:rsid w:val="00C83D77"/>
    <w:rsid w:val="00C91BF5"/>
    <w:rsid w:val="00C93423"/>
    <w:rsid w:val="00C935B8"/>
    <w:rsid w:val="00C9477E"/>
    <w:rsid w:val="00C9767B"/>
    <w:rsid w:val="00CA09B6"/>
    <w:rsid w:val="00CA19D7"/>
    <w:rsid w:val="00CA3490"/>
    <w:rsid w:val="00CA4B22"/>
    <w:rsid w:val="00CB03B4"/>
    <w:rsid w:val="00CB0988"/>
    <w:rsid w:val="00CB18BE"/>
    <w:rsid w:val="00CB1EA9"/>
    <w:rsid w:val="00CB1F5E"/>
    <w:rsid w:val="00CB24AC"/>
    <w:rsid w:val="00CB46F1"/>
    <w:rsid w:val="00CB6772"/>
    <w:rsid w:val="00CB694E"/>
    <w:rsid w:val="00CC0A1B"/>
    <w:rsid w:val="00CC150E"/>
    <w:rsid w:val="00CC3912"/>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3D30"/>
    <w:rsid w:val="00D3575D"/>
    <w:rsid w:val="00D3793C"/>
    <w:rsid w:val="00D37F33"/>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728EA"/>
    <w:rsid w:val="00D72C74"/>
    <w:rsid w:val="00D80B70"/>
    <w:rsid w:val="00D83480"/>
    <w:rsid w:val="00D86F3A"/>
    <w:rsid w:val="00D87709"/>
    <w:rsid w:val="00D914D0"/>
    <w:rsid w:val="00D91939"/>
    <w:rsid w:val="00D922AA"/>
    <w:rsid w:val="00D9506A"/>
    <w:rsid w:val="00DA1F47"/>
    <w:rsid w:val="00DA418B"/>
    <w:rsid w:val="00DA4782"/>
    <w:rsid w:val="00DA7764"/>
    <w:rsid w:val="00DA77A0"/>
    <w:rsid w:val="00DB7EBE"/>
    <w:rsid w:val="00DC183B"/>
    <w:rsid w:val="00DC43DE"/>
    <w:rsid w:val="00DC5022"/>
    <w:rsid w:val="00DC742F"/>
    <w:rsid w:val="00DC7C26"/>
    <w:rsid w:val="00DD1161"/>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2CC9"/>
    <w:rsid w:val="00E33887"/>
    <w:rsid w:val="00E34C1E"/>
    <w:rsid w:val="00E355EE"/>
    <w:rsid w:val="00E3776F"/>
    <w:rsid w:val="00E40FCC"/>
    <w:rsid w:val="00E46627"/>
    <w:rsid w:val="00E47851"/>
    <w:rsid w:val="00E501E7"/>
    <w:rsid w:val="00E5038A"/>
    <w:rsid w:val="00E511B3"/>
    <w:rsid w:val="00E5200B"/>
    <w:rsid w:val="00E52389"/>
    <w:rsid w:val="00E53397"/>
    <w:rsid w:val="00E60D3E"/>
    <w:rsid w:val="00E6182A"/>
    <w:rsid w:val="00E64AAE"/>
    <w:rsid w:val="00E653BB"/>
    <w:rsid w:val="00E65AC4"/>
    <w:rsid w:val="00E676EB"/>
    <w:rsid w:val="00E67E60"/>
    <w:rsid w:val="00E7049F"/>
    <w:rsid w:val="00E73851"/>
    <w:rsid w:val="00E755DC"/>
    <w:rsid w:val="00E75725"/>
    <w:rsid w:val="00E77540"/>
    <w:rsid w:val="00E84715"/>
    <w:rsid w:val="00E85549"/>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3FA"/>
    <w:rsid w:val="00EA5FA5"/>
    <w:rsid w:val="00EB75DF"/>
    <w:rsid w:val="00EB7E92"/>
    <w:rsid w:val="00EC317D"/>
    <w:rsid w:val="00EC4C56"/>
    <w:rsid w:val="00EC513A"/>
    <w:rsid w:val="00EC51CD"/>
    <w:rsid w:val="00EC589A"/>
    <w:rsid w:val="00ED04F0"/>
    <w:rsid w:val="00ED1A67"/>
    <w:rsid w:val="00ED2B4E"/>
    <w:rsid w:val="00ED4145"/>
    <w:rsid w:val="00ED47FC"/>
    <w:rsid w:val="00ED6F5E"/>
    <w:rsid w:val="00EE007D"/>
    <w:rsid w:val="00EE01DF"/>
    <w:rsid w:val="00EE09A8"/>
    <w:rsid w:val="00EE17FA"/>
    <w:rsid w:val="00EE2A8B"/>
    <w:rsid w:val="00EE316B"/>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FAE"/>
    <w:rsid w:val="00F34071"/>
    <w:rsid w:val="00F347A3"/>
    <w:rsid w:val="00F34988"/>
    <w:rsid w:val="00F3538D"/>
    <w:rsid w:val="00F3719F"/>
    <w:rsid w:val="00F37397"/>
    <w:rsid w:val="00F40419"/>
    <w:rsid w:val="00F41352"/>
    <w:rsid w:val="00F41870"/>
    <w:rsid w:val="00F41872"/>
    <w:rsid w:val="00F42891"/>
    <w:rsid w:val="00F42EF7"/>
    <w:rsid w:val="00F450D5"/>
    <w:rsid w:val="00F47D23"/>
    <w:rsid w:val="00F500D5"/>
    <w:rsid w:val="00F520AA"/>
    <w:rsid w:val="00F52647"/>
    <w:rsid w:val="00F603E8"/>
    <w:rsid w:val="00F60A48"/>
    <w:rsid w:val="00F61FC4"/>
    <w:rsid w:val="00F62319"/>
    <w:rsid w:val="00F62CA2"/>
    <w:rsid w:val="00F62F0E"/>
    <w:rsid w:val="00F671DB"/>
    <w:rsid w:val="00F67640"/>
    <w:rsid w:val="00F70CA0"/>
    <w:rsid w:val="00F72AD3"/>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B586E"/>
    <w:rsid w:val="00FC0C8C"/>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727"/>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481689-FF67-4381-8C82-768F99C8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 w:type="paragraph" w:customStyle="1" w:styleId="metin">
    <w:name w:val="metin"/>
    <w:basedOn w:val="Normal"/>
    <w:rsid w:val="00F72AD3"/>
    <w:pPr>
      <w:spacing w:before="100" w:beforeAutospacing="1" w:after="100" w:afterAutospacing="1"/>
    </w:pPr>
    <w:rPr>
      <w:lang w:val="tr-TR" w:eastAsia="tr-TR"/>
    </w:rPr>
  </w:style>
  <w:style w:type="paragraph" w:customStyle="1" w:styleId="balk11pt">
    <w:name w:val="balk11pt"/>
    <w:basedOn w:val="Normal"/>
    <w:rsid w:val="00361CF1"/>
    <w:pPr>
      <w:spacing w:before="100" w:beforeAutospacing="1" w:after="100" w:afterAutospacing="1"/>
    </w:pPr>
    <w:rPr>
      <w:lang w:val="tr-TR" w:eastAsia="tr-TR"/>
    </w:rPr>
  </w:style>
  <w:style w:type="paragraph" w:customStyle="1" w:styleId="ortabalkbold">
    <w:name w:val="ortabalkbold"/>
    <w:basedOn w:val="Normal"/>
    <w:rsid w:val="00361CF1"/>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4608">
      <w:bodyDiv w:val="1"/>
      <w:marLeft w:val="0"/>
      <w:marRight w:val="0"/>
      <w:marTop w:val="0"/>
      <w:marBottom w:val="0"/>
      <w:divBdr>
        <w:top w:val="none" w:sz="0" w:space="0" w:color="auto"/>
        <w:left w:val="none" w:sz="0" w:space="0" w:color="auto"/>
        <w:bottom w:val="none" w:sz="0" w:space="0" w:color="auto"/>
        <w:right w:val="none" w:sz="0" w:space="0" w:color="auto"/>
      </w:divBdr>
    </w:div>
    <w:div w:id="98452416">
      <w:bodyDiv w:val="1"/>
      <w:marLeft w:val="0"/>
      <w:marRight w:val="0"/>
      <w:marTop w:val="0"/>
      <w:marBottom w:val="0"/>
      <w:divBdr>
        <w:top w:val="none" w:sz="0" w:space="0" w:color="auto"/>
        <w:left w:val="none" w:sz="0" w:space="0" w:color="auto"/>
        <w:bottom w:val="none" w:sz="0" w:space="0" w:color="auto"/>
        <w:right w:val="none" w:sz="0" w:space="0" w:color="auto"/>
      </w:divBdr>
      <w:divsChild>
        <w:div w:id="1390954960">
          <w:marLeft w:val="0"/>
          <w:marRight w:val="0"/>
          <w:marTop w:val="0"/>
          <w:marBottom w:val="300"/>
          <w:divBdr>
            <w:top w:val="none" w:sz="0" w:space="0" w:color="auto"/>
            <w:left w:val="none" w:sz="0" w:space="0" w:color="auto"/>
            <w:bottom w:val="none" w:sz="0" w:space="0" w:color="auto"/>
            <w:right w:val="none" w:sz="0" w:space="0" w:color="auto"/>
          </w:divBdr>
          <w:divsChild>
            <w:div w:id="962925088">
              <w:marLeft w:val="0"/>
              <w:marRight w:val="0"/>
              <w:marTop w:val="0"/>
              <w:marBottom w:val="0"/>
              <w:divBdr>
                <w:top w:val="none" w:sz="0" w:space="0" w:color="auto"/>
                <w:left w:val="none" w:sz="0" w:space="0" w:color="auto"/>
                <w:bottom w:val="none" w:sz="0" w:space="0" w:color="auto"/>
                <w:right w:val="none" w:sz="0" w:space="0" w:color="auto"/>
              </w:divBdr>
              <w:divsChild>
                <w:div w:id="1592086792">
                  <w:marLeft w:val="0"/>
                  <w:marRight w:val="0"/>
                  <w:marTop w:val="0"/>
                  <w:marBottom w:val="0"/>
                  <w:divBdr>
                    <w:top w:val="none" w:sz="0" w:space="0" w:color="auto"/>
                    <w:left w:val="none" w:sz="0" w:space="0" w:color="auto"/>
                    <w:bottom w:val="none" w:sz="0" w:space="0" w:color="auto"/>
                    <w:right w:val="none" w:sz="0" w:space="0" w:color="auto"/>
                  </w:divBdr>
                </w:div>
                <w:div w:id="2086102478">
                  <w:marLeft w:val="0"/>
                  <w:marRight w:val="0"/>
                  <w:marTop w:val="0"/>
                  <w:marBottom w:val="0"/>
                  <w:divBdr>
                    <w:top w:val="none" w:sz="0" w:space="0" w:color="auto"/>
                    <w:left w:val="none" w:sz="0" w:space="0" w:color="auto"/>
                    <w:bottom w:val="none" w:sz="0" w:space="0" w:color="auto"/>
                    <w:right w:val="none" w:sz="0" w:space="0" w:color="auto"/>
                  </w:divBdr>
                  <w:divsChild>
                    <w:div w:id="1145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215">
              <w:marLeft w:val="0"/>
              <w:marRight w:val="0"/>
              <w:marTop w:val="0"/>
              <w:marBottom w:val="0"/>
              <w:divBdr>
                <w:top w:val="none" w:sz="0" w:space="0" w:color="auto"/>
                <w:left w:val="none" w:sz="0" w:space="0" w:color="auto"/>
                <w:bottom w:val="none" w:sz="0" w:space="0" w:color="auto"/>
                <w:right w:val="none" w:sz="0" w:space="0" w:color="auto"/>
              </w:divBdr>
              <w:divsChild>
                <w:div w:id="1957446982">
                  <w:marLeft w:val="0"/>
                  <w:marRight w:val="0"/>
                  <w:marTop w:val="0"/>
                  <w:marBottom w:val="0"/>
                  <w:divBdr>
                    <w:top w:val="none" w:sz="0" w:space="0" w:color="auto"/>
                    <w:left w:val="none" w:sz="0" w:space="0" w:color="auto"/>
                    <w:bottom w:val="none" w:sz="0" w:space="0" w:color="auto"/>
                    <w:right w:val="none" w:sz="0" w:space="0" w:color="auto"/>
                  </w:divBdr>
                </w:div>
                <w:div w:id="1500775933">
                  <w:marLeft w:val="0"/>
                  <w:marRight w:val="0"/>
                  <w:marTop w:val="0"/>
                  <w:marBottom w:val="0"/>
                  <w:divBdr>
                    <w:top w:val="none" w:sz="0" w:space="0" w:color="auto"/>
                    <w:left w:val="none" w:sz="0" w:space="0" w:color="auto"/>
                    <w:bottom w:val="none" w:sz="0" w:space="0" w:color="auto"/>
                    <w:right w:val="none" w:sz="0" w:space="0" w:color="auto"/>
                  </w:divBdr>
                  <w:divsChild>
                    <w:div w:id="729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969">
          <w:marLeft w:val="0"/>
          <w:marRight w:val="0"/>
          <w:marTop w:val="0"/>
          <w:marBottom w:val="0"/>
          <w:divBdr>
            <w:top w:val="none" w:sz="0" w:space="0" w:color="auto"/>
            <w:left w:val="none" w:sz="0" w:space="0" w:color="auto"/>
            <w:bottom w:val="none" w:sz="0" w:space="0" w:color="auto"/>
            <w:right w:val="none" w:sz="0" w:space="0" w:color="auto"/>
          </w:divBdr>
          <w:divsChild>
            <w:div w:id="458692688">
              <w:marLeft w:val="0"/>
              <w:marRight w:val="0"/>
              <w:marTop w:val="0"/>
              <w:marBottom w:val="0"/>
              <w:divBdr>
                <w:top w:val="none" w:sz="0" w:space="0" w:color="auto"/>
                <w:left w:val="none" w:sz="0" w:space="0" w:color="auto"/>
                <w:bottom w:val="none" w:sz="0" w:space="0" w:color="auto"/>
                <w:right w:val="none" w:sz="0" w:space="0" w:color="auto"/>
              </w:divBdr>
              <w:divsChild>
                <w:div w:id="17227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16977">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65281417">
      <w:bodyDiv w:val="1"/>
      <w:marLeft w:val="0"/>
      <w:marRight w:val="0"/>
      <w:marTop w:val="0"/>
      <w:marBottom w:val="0"/>
      <w:divBdr>
        <w:top w:val="none" w:sz="0" w:space="0" w:color="auto"/>
        <w:left w:val="none" w:sz="0" w:space="0" w:color="auto"/>
        <w:bottom w:val="none" w:sz="0" w:space="0" w:color="auto"/>
        <w:right w:val="none" w:sz="0" w:space="0" w:color="auto"/>
      </w:divBdr>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53989110">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86126058">
      <w:bodyDiv w:val="1"/>
      <w:marLeft w:val="0"/>
      <w:marRight w:val="0"/>
      <w:marTop w:val="0"/>
      <w:marBottom w:val="0"/>
      <w:divBdr>
        <w:top w:val="none" w:sz="0" w:space="0" w:color="auto"/>
        <w:left w:val="none" w:sz="0" w:space="0" w:color="auto"/>
        <w:bottom w:val="none" w:sz="0" w:space="0" w:color="auto"/>
        <w:right w:val="none" w:sz="0" w:space="0" w:color="auto"/>
      </w:divBdr>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1116</Words>
  <Characters>6362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nexia 201015</cp:lastModifiedBy>
  <cp:revision>3</cp:revision>
  <cp:lastPrinted>2013-07-10T11:55:00Z</cp:lastPrinted>
  <dcterms:created xsi:type="dcterms:W3CDTF">2015-12-25T07:34:00Z</dcterms:created>
  <dcterms:modified xsi:type="dcterms:W3CDTF">2015-12-25T07:56:00Z</dcterms:modified>
</cp:coreProperties>
</file>